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04" w:rsidRPr="00E64819" w:rsidRDefault="00D35804" w:rsidP="00E64819">
      <w:pPr>
        <w:pStyle w:val="alignlef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bookmarkStart w:id="0" w:name="_GoBack"/>
      <w:r w:rsidRPr="00E64819">
        <w:rPr>
          <w:rStyle w:val="a3"/>
          <w:rFonts w:ascii="Arial" w:hAnsi="Arial" w:cs="Arial"/>
          <w:color w:val="000000" w:themeColor="text1"/>
          <w:kern w:val="36"/>
          <w:sz w:val="30"/>
          <w:szCs w:val="30"/>
        </w:rPr>
        <w:t>Поддержка в сфере занятости</w:t>
      </w:r>
    </w:p>
    <w:bookmarkEnd w:id="0"/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 xml:space="preserve">В 2022 г. </w:t>
      </w:r>
      <w:r w:rsidR="00E64819" w:rsidRPr="00E64819">
        <w:rPr>
          <w:color w:val="000000" w:themeColor="text1"/>
          <w:sz w:val="30"/>
          <w:szCs w:val="30"/>
        </w:rPr>
        <w:t xml:space="preserve">с 25 марта </w:t>
      </w:r>
      <w:r w:rsidRPr="00E64819">
        <w:rPr>
          <w:color w:val="000000" w:themeColor="text1"/>
          <w:sz w:val="30"/>
          <w:szCs w:val="30"/>
        </w:rPr>
        <w:t>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 </w:t>
      </w:r>
      <w:hyperlink r:id="rId4" w:anchor="dst100011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гражданам</w:t>
        </w:r>
      </w:hyperlink>
      <w:r w:rsidRPr="00E64819">
        <w:rPr>
          <w:color w:val="000000" w:themeColor="text1"/>
          <w:sz w:val="30"/>
          <w:szCs w:val="30"/>
        </w:rPr>
        <w:t>: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- под риском увольнения (в связи с предстоящими ликвидацией организации, прекращением деятельности ИП, сокращением численности или штата работников);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- переведенным на неполный рабочий день (смену, рабочую неделю) по инициативе работодателя;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- в отпуске без сохранения зарплаты;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- работодатель которых принял решение о простое;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- к работодателю которых применена процедура, применяемая в деле о банкротстве.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Службы занятости оказывают помощь не только с </w:t>
      </w:r>
      <w:hyperlink r:id="rId5" w:anchor="dst100007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временным трудоустройством</w:t>
        </w:r>
      </w:hyperlink>
      <w:r w:rsidRPr="00E64819">
        <w:rPr>
          <w:color w:val="000000" w:themeColor="text1"/>
          <w:sz w:val="30"/>
          <w:szCs w:val="30"/>
        </w:rPr>
        <w:t> и </w:t>
      </w:r>
      <w:proofErr w:type="spellStart"/>
      <w:r w:rsidRPr="00E64819">
        <w:rPr>
          <w:color w:val="000000" w:themeColor="text1"/>
          <w:sz w:val="30"/>
          <w:szCs w:val="30"/>
        </w:rPr>
        <w:fldChar w:fldCharType="begin"/>
      </w:r>
      <w:r w:rsidRPr="00E64819">
        <w:rPr>
          <w:color w:val="000000" w:themeColor="text1"/>
          <w:sz w:val="30"/>
          <w:szCs w:val="30"/>
        </w:rPr>
        <w:instrText xml:space="preserve"> HYPERLINK "http://www.consultant.ru/document/cons_doc_LAW_411830/" \l "dst100010" </w:instrText>
      </w:r>
      <w:r w:rsidRPr="00E64819">
        <w:rPr>
          <w:color w:val="000000" w:themeColor="text1"/>
          <w:sz w:val="30"/>
          <w:szCs w:val="30"/>
        </w:rPr>
        <w:fldChar w:fldCharType="separate"/>
      </w:r>
      <w:r w:rsidRPr="00E64819">
        <w:rPr>
          <w:rStyle w:val="a4"/>
          <w:color w:val="000000" w:themeColor="text1"/>
          <w:sz w:val="30"/>
          <w:szCs w:val="30"/>
          <w:u w:val="none"/>
        </w:rPr>
        <w:t>профобучением</w:t>
      </w:r>
      <w:proofErr w:type="spellEnd"/>
      <w:r w:rsidRPr="00E64819">
        <w:rPr>
          <w:color w:val="000000" w:themeColor="text1"/>
          <w:sz w:val="30"/>
          <w:szCs w:val="30"/>
        </w:rPr>
        <w:fldChar w:fldCharType="end"/>
      </w:r>
      <w:r w:rsidRPr="00E64819">
        <w:rPr>
          <w:color w:val="000000" w:themeColor="text1"/>
          <w:sz w:val="30"/>
          <w:szCs w:val="30"/>
        </w:rPr>
        <w:t>, но и в том числе с </w:t>
      </w:r>
      <w:hyperlink r:id="rId6" w:anchor="dst100009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открытием собственного дела</w:t>
        </w:r>
      </w:hyperlink>
      <w:r w:rsidRPr="00E64819">
        <w:rPr>
          <w:color w:val="000000" w:themeColor="text1"/>
          <w:sz w:val="30"/>
          <w:szCs w:val="30"/>
        </w:rPr>
        <w:t xml:space="preserve"> (включая единовременную финансовую помощь при регистрации </w:t>
      </w:r>
      <w:proofErr w:type="spellStart"/>
      <w:r w:rsidRPr="00E64819">
        <w:rPr>
          <w:color w:val="000000" w:themeColor="text1"/>
          <w:sz w:val="30"/>
          <w:szCs w:val="30"/>
        </w:rPr>
        <w:t>юрлица</w:t>
      </w:r>
      <w:proofErr w:type="spellEnd"/>
      <w:r w:rsidRPr="00E64819">
        <w:rPr>
          <w:color w:val="000000" w:themeColor="text1"/>
          <w:sz w:val="30"/>
          <w:szCs w:val="30"/>
        </w:rPr>
        <w:t>, КФХ, регистрации в качестве ИП и постановке на учет как плательщика налога на профессиональный доход).</w:t>
      </w:r>
    </w:p>
    <w:p w:rsidR="00D35804" w:rsidRPr="00E64819" w:rsidRDefault="00D35804">
      <w:pPr>
        <w:rPr>
          <w:color w:val="000000" w:themeColor="text1"/>
        </w:rPr>
      </w:pPr>
    </w:p>
    <w:p w:rsidR="00D35804" w:rsidRPr="00E64819" w:rsidRDefault="00D35804" w:rsidP="00E64819">
      <w:pPr>
        <w:pStyle w:val="alignlef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E64819">
        <w:rPr>
          <w:rStyle w:val="a3"/>
          <w:rFonts w:ascii="Arial" w:hAnsi="Arial" w:cs="Arial"/>
          <w:color w:val="000000" w:themeColor="text1"/>
          <w:kern w:val="36"/>
          <w:sz w:val="30"/>
          <w:szCs w:val="30"/>
        </w:rPr>
        <w:t>Предоставление кредитных каникул физлицам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Заемщики-физлица (в том числе ИП) </w:t>
      </w:r>
      <w:hyperlink r:id="rId7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могут</w:t>
        </w:r>
      </w:hyperlink>
      <w:r w:rsidRPr="00E64819">
        <w:rPr>
          <w:color w:val="000000" w:themeColor="text1"/>
          <w:sz w:val="30"/>
          <w:szCs w:val="30"/>
        </w:rPr>
        <w:t> обратиться к </w:t>
      </w:r>
      <w:hyperlink r:id="rId8" w:anchor="dst96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кредитору</w:t>
        </w:r>
      </w:hyperlink>
      <w:r w:rsidRPr="00E64819">
        <w:rPr>
          <w:color w:val="000000" w:themeColor="text1"/>
          <w:sz w:val="30"/>
          <w:szCs w:val="30"/>
        </w:rPr>
        <w:t> за предоставлением отсрочки платежей по договорам кредита и займа, заключенным до 1 марта 2022 г. Это можно сделать в период с 1 марта по 30 сентября 2022 г.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Отсрочка предоставляется не более чем на </w:t>
      </w:r>
      <w:hyperlink r:id="rId9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6 месяцев</w:t>
        </w:r>
      </w:hyperlink>
      <w:r w:rsidRPr="00E64819">
        <w:rPr>
          <w:color w:val="000000" w:themeColor="text1"/>
          <w:sz w:val="30"/>
          <w:szCs w:val="30"/>
        </w:rPr>
        <w:t>. Ее предоставят физлицу в порядке ст. 6 Федерального закона от 03.04.2020 N 106-ФЗ при соблюдении ряда </w:t>
      </w:r>
      <w:hyperlink r:id="rId10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условий</w:t>
        </w:r>
      </w:hyperlink>
      <w:r w:rsidRPr="00E64819">
        <w:rPr>
          <w:color w:val="000000" w:themeColor="text1"/>
          <w:sz w:val="30"/>
          <w:szCs w:val="30"/>
        </w:rPr>
        <w:t>. Среди них снижение дохода более чем на </w:t>
      </w:r>
      <w:hyperlink r:id="rId11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30%</w:t>
        </w:r>
      </w:hyperlink>
      <w:r w:rsidRPr="00E64819">
        <w:rPr>
          <w:color w:val="000000" w:themeColor="text1"/>
          <w:sz w:val="30"/>
          <w:szCs w:val="30"/>
        </w:rPr>
        <w:t>. Еще одно важное условие - сумма кредита (займа) не должна превышать </w:t>
      </w:r>
      <w:hyperlink r:id="rId12" w:anchor="dst100005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максимальный размер</w:t>
        </w:r>
      </w:hyperlink>
      <w:r w:rsidRPr="00E64819">
        <w:rPr>
          <w:color w:val="000000" w:themeColor="text1"/>
          <w:sz w:val="30"/>
          <w:szCs w:val="30"/>
        </w:rPr>
        <w:t>.</w:t>
      </w:r>
    </w:p>
    <w:p w:rsidR="00D35804" w:rsidRPr="00E64819" w:rsidRDefault="00D35804" w:rsidP="00D35804">
      <w:pPr>
        <w:pStyle w:val="no-inden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  <w:r w:rsidRPr="00E64819">
        <w:rPr>
          <w:color w:val="000000" w:themeColor="text1"/>
          <w:sz w:val="30"/>
          <w:szCs w:val="30"/>
        </w:rPr>
        <w:t>ИП, относящийся к МСП, </w:t>
      </w:r>
      <w:hyperlink r:id="rId13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может обратиться</w:t>
        </w:r>
      </w:hyperlink>
      <w:r w:rsidRPr="00E64819">
        <w:rPr>
          <w:color w:val="000000" w:themeColor="text1"/>
          <w:sz w:val="30"/>
          <w:szCs w:val="30"/>
        </w:rPr>
        <w:t> за кредитными каникулами по правилам, установленным для </w:t>
      </w:r>
      <w:hyperlink r:id="rId14" w:anchor="dst100040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МСП</w:t>
        </w:r>
      </w:hyperlink>
      <w:r w:rsidRPr="00E64819">
        <w:rPr>
          <w:color w:val="000000" w:themeColor="text1"/>
          <w:sz w:val="30"/>
          <w:szCs w:val="30"/>
        </w:rPr>
        <w:t>. Однако есть ограничение: по одному и тому же кредитному договору (договору займа) кредитные каникулы </w:t>
      </w:r>
      <w:hyperlink r:id="rId15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можно получить</w:t>
        </w:r>
      </w:hyperlink>
      <w:r w:rsidRPr="00E64819">
        <w:rPr>
          <w:color w:val="000000" w:themeColor="text1"/>
          <w:sz w:val="30"/>
          <w:szCs w:val="30"/>
        </w:rPr>
        <w:t> либо </w:t>
      </w:r>
      <w:hyperlink r:id="rId16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как физлицо</w:t>
        </w:r>
      </w:hyperlink>
      <w:r w:rsidRPr="00E64819">
        <w:rPr>
          <w:color w:val="000000" w:themeColor="text1"/>
          <w:sz w:val="30"/>
          <w:szCs w:val="30"/>
        </w:rPr>
        <w:t>, либо </w:t>
      </w:r>
      <w:hyperlink r:id="rId17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как МСП</w:t>
        </w:r>
      </w:hyperlink>
      <w:r w:rsidRPr="00E64819">
        <w:rPr>
          <w:color w:val="000000" w:themeColor="text1"/>
          <w:sz w:val="30"/>
          <w:szCs w:val="30"/>
        </w:rPr>
        <w:t>. ИП получит их, даже если уже </w:t>
      </w:r>
      <w:hyperlink r:id="rId18" w:history="1">
        <w:r w:rsidRPr="00E64819">
          <w:rPr>
            <w:rStyle w:val="a4"/>
            <w:color w:val="000000" w:themeColor="text1"/>
            <w:sz w:val="30"/>
            <w:szCs w:val="30"/>
            <w:u w:val="none"/>
          </w:rPr>
          <w:t>обращался</w:t>
        </w:r>
      </w:hyperlink>
      <w:r w:rsidRPr="00E64819">
        <w:rPr>
          <w:color w:val="000000" w:themeColor="text1"/>
          <w:sz w:val="30"/>
          <w:szCs w:val="30"/>
        </w:rPr>
        <w:t> за кредитными каникулами в срок до 30 сентября 2020 г. в связи с распространением COVID-19.</w:t>
      </w:r>
    </w:p>
    <w:p w:rsidR="00D35804" w:rsidRPr="00E64819" w:rsidRDefault="00D35804">
      <w:pPr>
        <w:rPr>
          <w:color w:val="000000" w:themeColor="text1"/>
        </w:rPr>
      </w:pPr>
    </w:p>
    <w:sectPr w:rsidR="00D35804" w:rsidRPr="00E64819" w:rsidSect="00E64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04"/>
    <w:rsid w:val="0091581D"/>
    <w:rsid w:val="00D35804"/>
    <w:rsid w:val="00E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8FCEC"/>
  <w15:chartTrackingRefBased/>
  <w15:docId w15:val="{0B02B19C-3F9B-4D0B-8CA5-BEF37BB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D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5804"/>
    <w:rPr>
      <w:b/>
      <w:bCs/>
    </w:rPr>
  </w:style>
  <w:style w:type="paragraph" w:customStyle="1" w:styleId="no-indent">
    <w:name w:val="no-indent"/>
    <w:basedOn w:val="a"/>
    <w:rsid w:val="00D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4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1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143/ea6f7bb32cdb797dc30aca18be2a215cd0211ad2/" TargetMode="External"/><Relationship Id="rId13" Type="http://schemas.openxmlformats.org/officeDocument/2006/relationships/hyperlink" Target="http://www.consultant.ru/document/cons_doc_LAW_411198/8383571e8220dcde5096006f3b968a25831b1917/" TargetMode="External"/><Relationship Id="rId18" Type="http://schemas.openxmlformats.org/officeDocument/2006/relationships/hyperlink" Target="http://www.consultant.ru/document/cons_doc_LAW_411198/8383571e8220dcde5096006f3b968a25831b19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1198/8383571e8220dcde5096006f3b968a25831b1917/" TargetMode="External"/><Relationship Id="rId12" Type="http://schemas.openxmlformats.org/officeDocument/2006/relationships/hyperlink" Target="http://www.consultant.ru/document/cons_doc_LAW_411448/" TargetMode="External"/><Relationship Id="rId17" Type="http://schemas.openxmlformats.org/officeDocument/2006/relationships/hyperlink" Target="http://www.consultant.ru/document/cons_doc_LAW_411198/8383571e8220dcde5096006f3b968a25831b19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1198/8383571e8220dcde5096006f3b968a25831b191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830/" TargetMode="External"/><Relationship Id="rId11" Type="http://schemas.openxmlformats.org/officeDocument/2006/relationships/hyperlink" Target="http://www.consultant.ru/document/cons_doc_LAW_411198/8383571e8220dcde5096006f3b968a25831b1917/" TargetMode="External"/><Relationship Id="rId5" Type="http://schemas.openxmlformats.org/officeDocument/2006/relationships/hyperlink" Target="http://www.consultant.ru/document/cons_doc_LAW_411830/" TargetMode="External"/><Relationship Id="rId15" Type="http://schemas.openxmlformats.org/officeDocument/2006/relationships/hyperlink" Target="http://www.consultant.ru/document/cons_doc_LAW_411198/8383571e8220dcde5096006f3b968a25831b1917/" TargetMode="External"/><Relationship Id="rId10" Type="http://schemas.openxmlformats.org/officeDocument/2006/relationships/hyperlink" Target="http://www.consultant.ru/document/cons_doc_LAW_411198/8383571e8220dcde5096006f3b968a25831b191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411830/" TargetMode="External"/><Relationship Id="rId9" Type="http://schemas.openxmlformats.org/officeDocument/2006/relationships/hyperlink" Target="http://www.consultant.ru/document/cons_doc_LAW_411198/8383571e8220dcde5096006f3b968a25831b1917/" TargetMode="External"/><Relationship Id="rId14" Type="http://schemas.openxmlformats.org/officeDocument/2006/relationships/hyperlink" Target="http://www.consultant.ru/document/cons_doc_LAW_411198/5bc46481589901e5ac516e41a554a61f46e2c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2022-03-29T07:40:00Z</dcterms:created>
  <dcterms:modified xsi:type="dcterms:W3CDTF">2022-03-29T07:55:00Z</dcterms:modified>
</cp:coreProperties>
</file>